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66" w:rsidRPr="00D323ED" w:rsidRDefault="00D323ED" w:rsidP="00D323ED">
      <w:pPr>
        <w:pStyle w:val="Heading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D323ED">
        <w:rPr>
          <w:sz w:val="32"/>
          <w:szCs w:val="32"/>
        </w:rPr>
        <w:t>Изменения в законодательстве</w:t>
      </w:r>
    </w:p>
    <w:p w:rsidR="00D323ED" w:rsidRDefault="00D323ED">
      <w:pPr>
        <w:pStyle w:val="Heading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D323ED" w:rsidRDefault="00D323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Доводим до сведения граждан об изменения в некоторых нормативных актах, регламентирующи</w:t>
      </w:r>
      <w:r w:rsidR="00A8018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мер социальной поддержки семьям с детьми.</w:t>
      </w:r>
    </w:p>
    <w:p w:rsidR="00EB2C66" w:rsidRDefault="00E66A57">
      <w:pPr>
        <w:pStyle w:val="a4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2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 Челябинской области от 31.03.2010 г. № 548-ЗО «О статусе и дополнительных мерах социальной поддержки многодетной семьи в Челябинской области».</w:t>
      </w:r>
    </w:p>
    <w:p w:rsidR="00EB2C66" w:rsidRDefault="00D323E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уточнено определение статуса многодетной семьи</w:t>
      </w:r>
    </w:p>
    <w:p w:rsidR="00EB2C66" w:rsidRDefault="00D323ED">
      <w:pPr>
        <w:pStyle w:val="a4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Многодетной семьей в Челябинской области является семья, имеющая трех и более детей (в том числе усыновленных, взятых под опеку (попечительство), пасынков и падчериц), место жительства членов которой находится на территории Челябинской области. Статус многодетной семьи устанавливается </w:t>
      </w:r>
      <w:r w:rsidRPr="00E66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бессрочно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C66" w:rsidRDefault="00D323E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(в случае гибели детей на СВО - до достижения одним из двух детей возраста восемнадцати лет, а при условии его обучения в организации, осуществляющей образовательную деятельность, по очной форме обучения до достижения им возраста 23 лет).</w:t>
      </w:r>
    </w:p>
    <w:p w:rsidR="00EB2C66" w:rsidRDefault="00D323E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изменен с 01.07.2024 г. критерий нуждаемости для получения ежемесячной денежной выплаты на оплату жилого помещения и коммунальных услуг (с 14 279 руб. до 31 128 руб. на одного члена семьи), а также размер выплаты увеличен до 2 500 руб.</w:t>
      </w:r>
    </w:p>
    <w:p w:rsidR="00EB2C66" w:rsidRDefault="00D323ED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установлена с 01.07.2024 г. новая мера поддержки многодетных семей со среднедушевым доходом, размер которого не превышает двукратную величину прожиточного минимума для трудоспособного населения (31 128 руб.) в виде 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обучения, в размере 10 000 рублей на каждого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ребенка. </w:t>
      </w:r>
    </w:p>
    <w:p w:rsidR="00E66A57" w:rsidRDefault="00D323E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разрабатываются Порядок предоставления, Административный регламент, форма заявления, технология назначения по данной услуге. Заявителям можно будет обратиться после 01.07.2024 г. </w:t>
      </w:r>
    </w:p>
    <w:p w:rsidR="00E66A57" w:rsidRPr="00A8018D" w:rsidRDefault="00A8018D" w:rsidP="00A8018D">
      <w:pPr>
        <w:pStyle w:val="afc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66A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7" w:anchor="/document/8787889/entry/0" w:tooltip="https://internet.garant.ru/#/document/8787889/entry/0" w:history="1">
        <w:r w:rsidR="00D323ED">
          <w:rPr>
            <w:rStyle w:val="af4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none"/>
          </w:rPr>
          <w:t>Закон</w:t>
        </w:r>
      </w:hyperlink>
      <w:r w:rsidR="00D32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Челябинской области от 15.12.2011 г. № 251-ЗО «О дополнительных мерах социальной поддержки семей, имеющих детей, в Челябинской области».</w:t>
      </w:r>
      <w:r w:rsidR="00E66A57" w:rsidRPr="00E66A57">
        <w:t xml:space="preserve"> </w:t>
      </w:r>
      <w:r w:rsidRPr="00A8018D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средствами областного материнского (семейного) капитала по направлению - </w:t>
      </w:r>
      <w:r w:rsidRPr="00A8018D">
        <w:rPr>
          <w:rFonts w:ascii="Times New Roman" w:hAnsi="Times New Roman" w:cs="Times New Roman"/>
          <w:sz w:val="28"/>
          <w:szCs w:val="28"/>
        </w:rPr>
        <w:t xml:space="preserve">погашение основного долга и уплата процентов по кредитам или займам на приобретение (строительство) жилого помещения, предоставленным гражданам по кредитному договору или договору займа, в том числе </w:t>
      </w:r>
      <w:proofErr w:type="gramStart"/>
      <w:r w:rsidRPr="00A8018D">
        <w:rPr>
          <w:rFonts w:ascii="Times New Roman" w:hAnsi="Times New Roman" w:cs="Times New Roman"/>
          <w:sz w:val="28"/>
          <w:szCs w:val="28"/>
        </w:rPr>
        <w:t>обязательства</w:t>
      </w:r>
      <w:proofErr w:type="gramEnd"/>
      <w:r w:rsidRPr="00A8018D">
        <w:rPr>
          <w:rFonts w:ascii="Times New Roman" w:hAnsi="Times New Roman" w:cs="Times New Roman"/>
          <w:sz w:val="28"/>
          <w:szCs w:val="28"/>
        </w:rPr>
        <w:t xml:space="preserve"> по которому обеспечены ипотекой, заключенному с организацией, в том числе кредитной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C66" w:rsidRPr="00A8018D" w:rsidRDefault="00EB2C66" w:rsidP="00A8018D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2C66" w:rsidRDefault="00A8018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1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32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займам, выданным потребительскими кооперативами, выданным начиная с 04.04.2024 г. появилось обязательное требование. </w:t>
      </w:r>
      <w:proofErr w:type="gramStart"/>
      <w:r w:rsidR="00D32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Кредитный потребительский кооператив или сельскохозяйственный кредитный потребительский кооператив, осуществляющие свою деятельность не менее трех лет со дня государственной регистрации должны быть включены в перечень таких кооперативов, который размещается на </w:t>
      </w:r>
      <w:hyperlink r:id="rId8" w:tooltip="http://www.cbr.ru/" w:history="1">
        <w:r w:rsidR="00D323ED"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официальном сайте </w:t>
        </w:r>
      </w:hyperlink>
      <w:r w:rsidR="00D32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Центрального банка Российской Федерации в информационно-телекоммуникационной сети «Интернет» </w:t>
      </w:r>
      <w:r w:rsidR="00D323ED">
        <w:rPr>
          <w:rFonts w:ascii="Times New Roman" w:eastAsia="Times New Roman" w:hAnsi="Times New Roman" w:cs="Times New Roman"/>
          <w:sz w:val="28"/>
          <w:szCs w:val="28"/>
        </w:rPr>
        <w:t>(адрес сайта - https://cbr.ru , затем по поиску найти «Перечень потребительских кооперативов» на необходимую дату).</w:t>
      </w:r>
      <w:proofErr w:type="gramEnd"/>
      <w:r w:rsidR="00D323ED">
        <w:rPr>
          <w:rFonts w:ascii="Times New Roman" w:eastAsia="Times New Roman" w:hAnsi="Times New Roman" w:cs="Times New Roman"/>
          <w:sz w:val="28"/>
          <w:szCs w:val="28"/>
        </w:rPr>
        <w:t xml:space="preserve">  Поэтому потребительские кооперативы, выдавшие </w:t>
      </w:r>
      <w:proofErr w:type="spellStart"/>
      <w:r w:rsidR="00D323ED">
        <w:rPr>
          <w:rFonts w:ascii="Times New Roman" w:eastAsia="Times New Roman" w:hAnsi="Times New Roman" w:cs="Times New Roman"/>
          <w:sz w:val="28"/>
          <w:szCs w:val="28"/>
        </w:rPr>
        <w:t>займ</w:t>
      </w:r>
      <w:proofErr w:type="spellEnd"/>
      <w:r w:rsidR="00D323ED">
        <w:rPr>
          <w:rFonts w:ascii="Times New Roman" w:eastAsia="Times New Roman" w:hAnsi="Times New Roman" w:cs="Times New Roman"/>
          <w:sz w:val="28"/>
          <w:szCs w:val="28"/>
        </w:rPr>
        <w:t xml:space="preserve"> (кредит) на приобретение жилья, проверяем по двум направлениям:</w:t>
      </w:r>
    </w:p>
    <w:p w:rsidR="00EB2C66" w:rsidRDefault="00D323E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осуществляют деятельность не менее трех лет;</w:t>
      </w:r>
    </w:p>
    <w:p w:rsidR="00EB2C66" w:rsidRDefault="00D323E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включены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Перечень кредитных потребительских кооперативов и сельскохозяйственных кредитных потребительских кооперативов, соответствующих требованиям пункта 3 части 7 статьи 10 Федерального закона от 29 декабря 2006 года № 256-ФЗ «О дополнительных мерах государственной поддержки семей, имеющих детей»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Перечень), размещенный на сайте Центробанка РФ. </w:t>
      </w:r>
    </w:p>
    <w:p w:rsidR="00EB2C66" w:rsidRDefault="00D323ED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Обращаем внимание, что Перечень обновляется ежедневно, поэтому проверку на наличие в нём конкретного Потребительского кооператива следует производить на дату принятия решения о предоставлении областного материнского (семейного) капитала.</w:t>
      </w:r>
    </w:p>
    <w:p w:rsidR="00EB2C66" w:rsidRDefault="00A8018D">
      <w:pPr>
        <w:pStyle w:val="a4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3E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8795924/entry/0" w:tooltip="https://internet.garant.ru/#/document/8795924/entry/0" w:history="1">
        <w:r w:rsidR="00D323ED">
          <w:rPr>
            <w:rStyle w:val="af4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none"/>
          </w:rPr>
          <w:t>Закон</w:t>
        </w:r>
      </w:hyperlink>
      <w:r w:rsidR="00D32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Челябинской области от 30 августа 2012 года № 371-ЗО «О ежемесячной денежной выплате, назначаемой в случае рождения третьего ребенка и (или) последующих детей до достижения ребенком возраста трех лет»</w:t>
      </w:r>
      <w:r w:rsidR="00D323ED">
        <w:rPr>
          <w:b/>
          <w:bCs/>
          <w:sz w:val="28"/>
          <w:szCs w:val="28"/>
        </w:rPr>
        <w:t>.</w:t>
      </w:r>
    </w:p>
    <w:p w:rsidR="00EB2C66" w:rsidRDefault="00D323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части уточнения перечня документов (документы и сведения о гибели детей в возрасте до 23 лет на СВО), а также оснований для прекращения выплаты.</w:t>
      </w:r>
    </w:p>
    <w:p w:rsidR="00EB2C66" w:rsidRDefault="00A8018D">
      <w:pPr>
        <w:pStyle w:val="a4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3ED">
        <w:rPr>
          <w:rFonts w:ascii="Times New Roman" w:hAnsi="Times New Roman" w:cs="Times New Roman"/>
          <w:sz w:val="28"/>
          <w:szCs w:val="28"/>
        </w:rPr>
        <w:t xml:space="preserve"> </w:t>
      </w:r>
      <w:r w:rsidR="00D323E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32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акон Челябинской области от 29 декабря 2021 года</w:t>
      </w:r>
      <w:r w:rsidR="00D32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 № 512-ЗО «О ежемесячной денежной выплате, назначаемой в случае рождения (усыновления) второго ребенка».</w:t>
      </w:r>
    </w:p>
    <w:p w:rsidR="00EB2C66" w:rsidRDefault="00D323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01.07.2024 г. </w:t>
      </w:r>
      <w:r>
        <w:rPr>
          <w:rFonts w:ascii="Times New Roman" w:hAnsi="Times New Roman" w:cs="Times New Roman"/>
          <w:sz w:val="28"/>
          <w:szCs w:val="28"/>
        </w:rPr>
        <w:t xml:space="preserve">увеличен размер ежемесячной денежной выплаты в случае рождения (усыновления) второго ребенка с 75 до 100 процентов величины прожиточного минимума на детей, установленной в Челябинской области и составит 14 706 рублей. </w:t>
      </w:r>
    </w:p>
    <w:p w:rsidR="00EB2C66" w:rsidRDefault="00D323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04.04.2024 г. изменился срок обращения за ежемесячной выплатой. Ежемесячная денежная выплата назначается с месяца рождения ребенка при обращении за ней в течение трех месяцев со дня рождения ребенка (ранее было при обращении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месяцев с месяца рождения ребенка).</w:t>
      </w:r>
    </w:p>
    <w:p w:rsidR="00EB2C66" w:rsidRDefault="00A801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2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23ED">
        <w:rPr>
          <w:rFonts w:ascii="Times New Roman" w:hAnsi="Times New Roman" w:cs="Times New Roman"/>
          <w:sz w:val="28"/>
          <w:szCs w:val="28"/>
        </w:rPr>
        <w:t xml:space="preserve"> </w:t>
      </w:r>
      <w:r w:rsidR="00D323E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32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акон Челябинской области от 27.12.2022 г. № 738-ЗО «О дополнительной мере социальной поддержки работников аккредитованных российских организаций, осуществляющих деятельность в области информационных технологий на территории Челябинской области, в виде компенсации (возмещения) части процентной ставки по жилищным (ипотечным) кредитам (займам), выданным на приобретение (строительство) жилья»</w:t>
      </w:r>
      <w:r w:rsidR="00D323ED">
        <w:rPr>
          <w:b/>
          <w:bCs/>
          <w:sz w:val="28"/>
          <w:szCs w:val="28"/>
        </w:rPr>
        <w:t>.</w:t>
      </w:r>
    </w:p>
    <w:p w:rsidR="00EB2C66" w:rsidRDefault="00D323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кредитам и займам, выданным с 04.04.2024 г. работникам аккредитованных российских организаций, осуществляющим деятельность в области информационных технологий на территории Челябинской области, установлено требование</w:t>
      </w:r>
      <w:r w:rsidR="000C42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место работы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осуществляющей деятельность в области информационных технологий на территории Челябинской области было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основным.</w:t>
      </w:r>
    </w:p>
    <w:p w:rsidR="00EB2C66" w:rsidRDefault="00EB2C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2C66" w:rsidSect="00EB2C66">
      <w:pgSz w:w="11906" w:h="16838"/>
      <w:pgMar w:top="907" w:right="737" w:bottom="73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57" w:rsidRDefault="00E66A57">
      <w:pPr>
        <w:spacing w:after="0" w:line="240" w:lineRule="auto"/>
      </w:pPr>
      <w:r>
        <w:separator/>
      </w:r>
    </w:p>
  </w:endnote>
  <w:endnote w:type="continuationSeparator" w:id="0">
    <w:p w:rsidR="00E66A57" w:rsidRDefault="00E6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57" w:rsidRDefault="00E66A57">
      <w:pPr>
        <w:spacing w:after="0" w:line="240" w:lineRule="auto"/>
      </w:pPr>
      <w:r>
        <w:separator/>
      </w:r>
    </w:p>
  </w:footnote>
  <w:footnote w:type="continuationSeparator" w:id="0">
    <w:p w:rsidR="00E66A57" w:rsidRDefault="00E6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669"/>
    <w:multiLevelType w:val="hybridMultilevel"/>
    <w:tmpl w:val="FA6A6EE2"/>
    <w:lvl w:ilvl="0" w:tplc="3392B970">
      <w:start w:val="1"/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1" w:tplc="75443F0C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</w:rPr>
    </w:lvl>
    <w:lvl w:ilvl="2" w:tplc="25685878">
      <w:start w:val="1"/>
      <w:numFmt w:val="bullet"/>
      <w:lvlText w:val="§"/>
      <w:lvlJc w:val="left"/>
      <w:pPr>
        <w:ind w:left="3000" w:hanging="360"/>
      </w:pPr>
      <w:rPr>
        <w:rFonts w:ascii="Wingdings" w:eastAsia="Wingdings" w:hAnsi="Wingdings" w:cs="Wingdings" w:hint="default"/>
      </w:rPr>
    </w:lvl>
    <w:lvl w:ilvl="3" w:tplc="87542F3A">
      <w:start w:val="1"/>
      <w:numFmt w:val="bullet"/>
      <w:lvlText w:val="·"/>
      <w:lvlJc w:val="left"/>
      <w:pPr>
        <w:ind w:left="3720" w:hanging="360"/>
      </w:pPr>
      <w:rPr>
        <w:rFonts w:ascii="Symbol" w:eastAsia="Symbol" w:hAnsi="Symbol" w:cs="Symbol" w:hint="default"/>
      </w:rPr>
    </w:lvl>
    <w:lvl w:ilvl="4" w:tplc="3A787BB0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 w:hint="default"/>
      </w:rPr>
    </w:lvl>
    <w:lvl w:ilvl="5" w:tplc="B156E08E">
      <w:start w:val="1"/>
      <w:numFmt w:val="bullet"/>
      <w:lvlText w:val="§"/>
      <w:lvlJc w:val="left"/>
      <w:pPr>
        <w:ind w:left="5160" w:hanging="360"/>
      </w:pPr>
      <w:rPr>
        <w:rFonts w:ascii="Wingdings" w:eastAsia="Wingdings" w:hAnsi="Wingdings" w:cs="Wingdings" w:hint="default"/>
      </w:rPr>
    </w:lvl>
    <w:lvl w:ilvl="6" w:tplc="6CE051E0">
      <w:start w:val="1"/>
      <w:numFmt w:val="bullet"/>
      <w:lvlText w:val="·"/>
      <w:lvlJc w:val="left"/>
      <w:pPr>
        <w:ind w:left="5880" w:hanging="360"/>
      </w:pPr>
      <w:rPr>
        <w:rFonts w:ascii="Symbol" w:eastAsia="Symbol" w:hAnsi="Symbol" w:cs="Symbol" w:hint="default"/>
      </w:rPr>
    </w:lvl>
    <w:lvl w:ilvl="7" w:tplc="98C4198A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 w:hint="default"/>
      </w:rPr>
    </w:lvl>
    <w:lvl w:ilvl="8" w:tplc="3FE46B22">
      <w:start w:val="1"/>
      <w:numFmt w:val="bullet"/>
      <w:lvlText w:val="§"/>
      <w:lvlJc w:val="left"/>
      <w:pPr>
        <w:ind w:left="7320" w:hanging="360"/>
      </w:pPr>
      <w:rPr>
        <w:rFonts w:ascii="Wingdings" w:eastAsia="Wingdings" w:hAnsi="Wingdings" w:cs="Wingdings" w:hint="default"/>
      </w:rPr>
    </w:lvl>
  </w:abstractNum>
  <w:abstractNum w:abstractNumId="1">
    <w:nsid w:val="40814C5A"/>
    <w:multiLevelType w:val="hybridMultilevel"/>
    <w:tmpl w:val="76B46C54"/>
    <w:lvl w:ilvl="0" w:tplc="2E062200">
      <w:start w:val="1"/>
      <w:numFmt w:val="decimal"/>
      <w:lvlText w:val="%1."/>
      <w:lvlJc w:val="left"/>
      <w:pPr>
        <w:ind w:left="720" w:hanging="360"/>
      </w:pPr>
    </w:lvl>
    <w:lvl w:ilvl="1" w:tplc="DD1C33A2">
      <w:start w:val="1"/>
      <w:numFmt w:val="lowerLetter"/>
      <w:lvlText w:val="%2."/>
      <w:lvlJc w:val="left"/>
      <w:pPr>
        <w:ind w:left="1440" w:hanging="360"/>
      </w:pPr>
    </w:lvl>
    <w:lvl w:ilvl="2" w:tplc="2DBA88D2">
      <w:start w:val="1"/>
      <w:numFmt w:val="lowerRoman"/>
      <w:lvlText w:val="%3."/>
      <w:lvlJc w:val="right"/>
      <w:pPr>
        <w:ind w:left="2160" w:hanging="180"/>
      </w:pPr>
    </w:lvl>
    <w:lvl w:ilvl="3" w:tplc="468A8BA4">
      <w:start w:val="1"/>
      <w:numFmt w:val="decimal"/>
      <w:lvlText w:val="%4."/>
      <w:lvlJc w:val="left"/>
      <w:pPr>
        <w:ind w:left="2880" w:hanging="360"/>
      </w:pPr>
    </w:lvl>
    <w:lvl w:ilvl="4" w:tplc="A9849870">
      <w:start w:val="1"/>
      <w:numFmt w:val="lowerLetter"/>
      <w:lvlText w:val="%5."/>
      <w:lvlJc w:val="left"/>
      <w:pPr>
        <w:ind w:left="3600" w:hanging="360"/>
      </w:pPr>
    </w:lvl>
    <w:lvl w:ilvl="5" w:tplc="6C7C6B2C">
      <w:start w:val="1"/>
      <w:numFmt w:val="lowerRoman"/>
      <w:lvlText w:val="%6."/>
      <w:lvlJc w:val="right"/>
      <w:pPr>
        <w:ind w:left="4320" w:hanging="180"/>
      </w:pPr>
    </w:lvl>
    <w:lvl w:ilvl="6" w:tplc="146A95CA">
      <w:start w:val="1"/>
      <w:numFmt w:val="decimal"/>
      <w:lvlText w:val="%7."/>
      <w:lvlJc w:val="left"/>
      <w:pPr>
        <w:ind w:left="5040" w:hanging="360"/>
      </w:pPr>
    </w:lvl>
    <w:lvl w:ilvl="7" w:tplc="DACECF30">
      <w:start w:val="1"/>
      <w:numFmt w:val="lowerLetter"/>
      <w:lvlText w:val="%8."/>
      <w:lvlJc w:val="left"/>
      <w:pPr>
        <w:ind w:left="5760" w:hanging="360"/>
      </w:pPr>
    </w:lvl>
    <w:lvl w:ilvl="8" w:tplc="102829B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022C9"/>
    <w:multiLevelType w:val="hybridMultilevel"/>
    <w:tmpl w:val="568834C2"/>
    <w:lvl w:ilvl="0" w:tplc="7A0ED3D2">
      <w:start w:val="1"/>
      <w:numFmt w:val="decimal"/>
      <w:lvlText w:val="%1)"/>
      <w:lvlJc w:val="left"/>
    </w:lvl>
    <w:lvl w:ilvl="1" w:tplc="A44470C6">
      <w:start w:val="1"/>
      <w:numFmt w:val="lowerLetter"/>
      <w:lvlText w:val="%2."/>
      <w:lvlJc w:val="left"/>
      <w:pPr>
        <w:ind w:left="1440" w:hanging="360"/>
      </w:pPr>
    </w:lvl>
    <w:lvl w:ilvl="2" w:tplc="F68CFDFE">
      <w:start w:val="1"/>
      <w:numFmt w:val="lowerRoman"/>
      <w:lvlText w:val="%3."/>
      <w:lvlJc w:val="right"/>
      <w:pPr>
        <w:ind w:left="2160" w:hanging="180"/>
      </w:pPr>
    </w:lvl>
    <w:lvl w:ilvl="3" w:tplc="8C2614E0">
      <w:start w:val="1"/>
      <w:numFmt w:val="decimal"/>
      <w:lvlText w:val="%4."/>
      <w:lvlJc w:val="left"/>
      <w:pPr>
        <w:ind w:left="2880" w:hanging="360"/>
      </w:pPr>
    </w:lvl>
    <w:lvl w:ilvl="4" w:tplc="12F2159C">
      <w:start w:val="1"/>
      <w:numFmt w:val="lowerLetter"/>
      <w:lvlText w:val="%5."/>
      <w:lvlJc w:val="left"/>
      <w:pPr>
        <w:ind w:left="3600" w:hanging="360"/>
      </w:pPr>
    </w:lvl>
    <w:lvl w:ilvl="5" w:tplc="746A8DB6">
      <w:start w:val="1"/>
      <w:numFmt w:val="lowerRoman"/>
      <w:lvlText w:val="%6."/>
      <w:lvlJc w:val="right"/>
      <w:pPr>
        <w:ind w:left="4320" w:hanging="180"/>
      </w:pPr>
    </w:lvl>
    <w:lvl w:ilvl="6" w:tplc="00FE87A6">
      <w:start w:val="1"/>
      <w:numFmt w:val="decimal"/>
      <w:lvlText w:val="%7."/>
      <w:lvlJc w:val="left"/>
      <w:pPr>
        <w:ind w:left="5040" w:hanging="360"/>
      </w:pPr>
    </w:lvl>
    <w:lvl w:ilvl="7" w:tplc="61EABB68">
      <w:start w:val="1"/>
      <w:numFmt w:val="lowerLetter"/>
      <w:lvlText w:val="%8."/>
      <w:lvlJc w:val="left"/>
      <w:pPr>
        <w:ind w:left="5760" w:hanging="360"/>
      </w:pPr>
    </w:lvl>
    <w:lvl w:ilvl="8" w:tplc="F40E6E7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63D38"/>
    <w:multiLevelType w:val="hybridMultilevel"/>
    <w:tmpl w:val="9C9CA846"/>
    <w:lvl w:ilvl="0" w:tplc="320E9AF8">
      <w:start w:val="1"/>
      <w:numFmt w:val="decimal"/>
      <w:lvlText w:val="%1)"/>
      <w:lvlJc w:val="left"/>
    </w:lvl>
    <w:lvl w:ilvl="1" w:tplc="C7686EE6">
      <w:start w:val="1"/>
      <w:numFmt w:val="lowerLetter"/>
      <w:lvlText w:val="%2."/>
      <w:lvlJc w:val="left"/>
      <w:pPr>
        <w:ind w:left="1440" w:hanging="360"/>
      </w:pPr>
    </w:lvl>
    <w:lvl w:ilvl="2" w:tplc="F24AC92C">
      <w:start w:val="1"/>
      <w:numFmt w:val="lowerRoman"/>
      <w:lvlText w:val="%3."/>
      <w:lvlJc w:val="right"/>
      <w:pPr>
        <w:ind w:left="2160" w:hanging="180"/>
      </w:pPr>
    </w:lvl>
    <w:lvl w:ilvl="3" w:tplc="40E4FC78">
      <w:start w:val="1"/>
      <w:numFmt w:val="decimal"/>
      <w:lvlText w:val="%4."/>
      <w:lvlJc w:val="left"/>
      <w:pPr>
        <w:ind w:left="2880" w:hanging="360"/>
      </w:pPr>
    </w:lvl>
    <w:lvl w:ilvl="4" w:tplc="3F4CBCC8">
      <w:start w:val="1"/>
      <w:numFmt w:val="lowerLetter"/>
      <w:lvlText w:val="%5."/>
      <w:lvlJc w:val="left"/>
      <w:pPr>
        <w:ind w:left="3600" w:hanging="360"/>
      </w:pPr>
    </w:lvl>
    <w:lvl w:ilvl="5" w:tplc="E50A6046">
      <w:start w:val="1"/>
      <w:numFmt w:val="lowerRoman"/>
      <w:lvlText w:val="%6."/>
      <w:lvlJc w:val="right"/>
      <w:pPr>
        <w:ind w:left="4320" w:hanging="180"/>
      </w:pPr>
    </w:lvl>
    <w:lvl w:ilvl="6" w:tplc="F84AB490">
      <w:start w:val="1"/>
      <w:numFmt w:val="decimal"/>
      <w:lvlText w:val="%7."/>
      <w:lvlJc w:val="left"/>
      <w:pPr>
        <w:ind w:left="5040" w:hanging="360"/>
      </w:pPr>
    </w:lvl>
    <w:lvl w:ilvl="7" w:tplc="877C0F6A">
      <w:start w:val="1"/>
      <w:numFmt w:val="lowerLetter"/>
      <w:lvlText w:val="%8."/>
      <w:lvlJc w:val="left"/>
      <w:pPr>
        <w:ind w:left="5760" w:hanging="360"/>
      </w:pPr>
    </w:lvl>
    <w:lvl w:ilvl="8" w:tplc="9EF0F3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C66"/>
    <w:rsid w:val="000C4239"/>
    <w:rsid w:val="00353D04"/>
    <w:rsid w:val="00A8018D"/>
    <w:rsid w:val="00D323ED"/>
    <w:rsid w:val="00E66A57"/>
    <w:rsid w:val="00EB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B2C6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B2C6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B2C6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B2C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B2C6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B2C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B2C6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B2C6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B2C6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B2C6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B2C6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B2C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B2C6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B2C6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B2C6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B2C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B2C6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B2C66"/>
    <w:pPr>
      <w:ind w:left="720"/>
      <w:contextualSpacing/>
    </w:pPr>
  </w:style>
  <w:style w:type="paragraph" w:styleId="a4">
    <w:name w:val="No Spacing"/>
    <w:uiPriority w:val="1"/>
    <w:qFormat/>
    <w:rsid w:val="00EB2C6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B2C6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B2C6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B2C6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B2C6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2C6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B2C6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B2C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B2C6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B2C6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B2C66"/>
  </w:style>
  <w:style w:type="paragraph" w:customStyle="1" w:styleId="Footer">
    <w:name w:val="Footer"/>
    <w:basedOn w:val="a"/>
    <w:link w:val="CaptionChar"/>
    <w:uiPriority w:val="99"/>
    <w:unhideWhenUsed/>
    <w:rsid w:val="00EB2C6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B2C6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B2C6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B2C66"/>
  </w:style>
  <w:style w:type="table" w:customStyle="1" w:styleId="TableGridLight">
    <w:name w:val="Table Grid Light"/>
    <w:basedOn w:val="a1"/>
    <w:uiPriority w:val="59"/>
    <w:rsid w:val="00EB2C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B2C6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B2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2C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2C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EB2C66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B2C66"/>
    <w:rPr>
      <w:sz w:val="18"/>
    </w:rPr>
  </w:style>
  <w:style w:type="character" w:styleId="ad">
    <w:name w:val="footnote reference"/>
    <w:basedOn w:val="a0"/>
    <w:uiPriority w:val="99"/>
    <w:unhideWhenUsed/>
    <w:rsid w:val="00EB2C6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B2C66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B2C66"/>
    <w:rPr>
      <w:sz w:val="20"/>
    </w:rPr>
  </w:style>
  <w:style w:type="character" w:styleId="af0">
    <w:name w:val="endnote reference"/>
    <w:basedOn w:val="a0"/>
    <w:uiPriority w:val="99"/>
    <w:semiHidden/>
    <w:unhideWhenUsed/>
    <w:rsid w:val="00EB2C6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B2C66"/>
    <w:pPr>
      <w:spacing w:after="57"/>
    </w:pPr>
  </w:style>
  <w:style w:type="paragraph" w:styleId="21">
    <w:name w:val="toc 2"/>
    <w:basedOn w:val="a"/>
    <w:next w:val="a"/>
    <w:uiPriority w:val="39"/>
    <w:unhideWhenUsed/>
    <w:rsid w:val="00EB2C6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B2C6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B2C6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B2C6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B2C6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B2C6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B2C6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B2C66"/>
    <w:pPr>
      <w:spacing w:after="57"/>
      <w:ind w:left="2268"/>
    </w:pPr>
  </w:style>
  <w:style w:type="paragraph" w:styleId="af1">
    <w:name w:val="TOC Heading"/>
    <w:uiPriority w:val="39"/>
    <w:unhideWhenUsed/>
    <w:rsid w:val="00EB2C66"/>
  </w:style>
  <w:style w:type="paragraph" w:styleId="af2">
    <w:name w:val="table of figures"/>
    <w:basedOn w:val="a"/>
    <w:next w:val="a"/>
    <w:uiPriority w:val="99"/>
    <w:unhideWhenUsed/>
    <w:rsid w:val="00EB2C66"/>
    <w:pPr>
      <w:spacing w:after="0"/>
    </w:pPr>
  </w:style>
  <w:style w:type="paragraph" w:customStyle="1" w:styleId="Heading2">
    <w:name w:val="Heading 2"/>
    <w:basedOn w:val="a"/>
    <w:link w:val="22"/>
    <w:uiPriority w:val="9"/>
    <w:unhideWhenUsed/>
    <w:qFormat/>
    <w:rsid w:val="00EB2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3">
    <w:name w:val="Table Grid"/>
    <w:basedOn w:val="a1"/>
    <w:uiPriority w:val="39"/>
    <w:rsid w:val="00EB2C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EB2C66"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B2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2C66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uiPriority w:val="99"/>
    <w:rsid w:val="00EB2C66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EB2C6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2 Знак"/>
    <w:basedOn w:val="a0"/>
    <w:link w:val="Heading2"/>
    <w:uiPriority w:val="9"/>
    <w:rsid w:val="00EB2C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7">
    <w:name w:val="Body Text Indent"/>
    <w:basedOn w:val="a"/>
    <w:link w:val="af8"/>
    <w:uiPriority w:val="99"/>
    <w:semiHidden/>
    <w:unhideWhenUsed/>
    <w:rsid w:val="00EB2C66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EB2C66"/>
    <w:rPr>
      <w:rFonts w:ascii="Calibri" w:eastAsia="Calibri" w:hAnsi="Calibri" w:cs="Times New Roman"/>
    </w:rPr>
  </w:style>
  <w:style w:type="paragraph" w:styleId="af9">
    <w:name w:val="Plain Text"/>
    <w:basedOn w:val="a"/>
    <w:link w:val="afa"/>
    <w:uiPriority w:val="99"/>
    <w:semiHidden/>
    <w:unhideWhenUsed/>
    <w:rsid w:val="00EB2C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EB2C66"/>
    <w:rPr>
      <w:rFonts w:ascii="Courier New" w:eastAsia="Times New Roman" w:hAnsi="Courier New" w:cs="Times New Roman"/>
      <w:sz w:val="20"/>
      <w:szCs w:val="20"/>
    </w:rPr>
  </w:style>
  <w:style w:type="character" w:styleId="afb">
    <w:name w:val="Emphasis"/>
    <w:uiPriority w:val="20"/>
    <w:qFormat/>
    <w:rsid w:val="00EB2C66"/>
    <w:rPr>
      <w:i/>
      <w:iCs/>
    </w:rPr>
  </w:style>
  <w:style w:type="paragraph" w:customStyle="1" w:styleId="s1">
    <w:name w:val="s_1"/>
    <w:basedOn w:val="a"/>
    <w:rsid w:val="00EB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E66A5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Текин Сергей Юрьевич</dc:creator>
  <cp:keywords/>
  <dc:description/>
  <cp:lastModifiedBy>user</cp:lastModifiedBy>
  <cp:revision>45</cp:revision>
  <cp:lastPrinted>2024-04-10T11:23:00Z</cp:lastPrinted>
  <dcterms:created xsi:type="dcterms:W3CDTF">2021-08-31T09:17:00Z</dcterms:created>
  <dcterms:modified xsi:type="dcterms:W3CDTF">2024-04-11T03:15:00Z</dcterms:modified>
</cp:coreProperties>
</file>